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B70FA">
        <w:rPr>
          <w:rFonts w:ascii="Times New Roman" w:hAnsi="Times New Roman" w:cs="Times New Roman"/>
          <w:sz w:val="24"/>
          <w:szCs w:val="24"/>
        </w:rPr>
        <w:t xml:space="preserve">с 05 сентября 2023г. по 05 декабря </w:t>
      </w:r>
      <w:r w:rsidR="003A4277" w:rsidRPr="00FA7CB1">
        <w:rPr>
          <w:rFonts w:ascii="Times New Roman" w:hAnsi="Times New Roman" w:cs="Times New Roman"/>
          <w:sz w:val="24"/>
          <w:szCs w:val="24"/>
        </w:rPr>
        <w:t xml:space="preserve"> 2023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пасское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ул.Спасская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тел.8(42352)</w:t>
      </w:r>
      <w:r w:rsidRPr="00B92249">
        <w:rPr>
          <w:rFonts w:ascii="Arial" w:hAnsi="Arial" w:cs="Arial"/>
          <w:color w:val="8994A4"/>
          <w:sz w:val="21"/>
          <w:szCs w:val="21"/>
          <w:shd w:val="clear" w:color="auto" w:fill="FFFFFF"/>
        </w:rPr>
        <w:t xml:space="preserve"> </w:t>
      </w:r>
      <w:r w:rsidR="00BB70FA">
        <w:rPr>
          <w:rFonts w:ascii="Arial" w:hAnsi="Arial" w:cs="Arial"/>
          <w:sz w:val="21"/>
          <w:szCs w:val="21"/>
          <w:shd w:val="clear" w:color="auto" w:fill="FFFFFF"/>
        </w:rPr>
        <w:t>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BB7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 сентября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2023г. по </w:t>
      </w:r>
      <w:r w:rsidR="00BB7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 декабря</w:t>
      </w:r>
      <w:r w:rsidR="003A4277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адресу: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пасское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, Спасского района, Приморского края, ул.Спасская,116, адрес электронной почты:</w:t>
      </w:r>
      <w:r w:rsidR="00126B18" w:rsidRPr="00126B18">
        <w:t xml:space="preserve"> </w:t>
      </w:r>
      <w:hyperlink r:id="rId7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</w:t>
      </w:r>
      <w:r w:rsidR="00BB70FA">
        <w:rPr>
          <w:rFonts w:ascii="Times New Roman" w:eastAsia="Calibri" w:hAnsi="Times New Roman" w:cs="Times New Roman"/>
          <w:sz w:val="24"/>
          <w:szCs w:val="24"/>
          <w:lang w:eastAsia="zh-CN"/>
        </w:rPr>
        <w:t>20 декабря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BB70FA">
        <w:rPr>
          <w:rFonts w:ascii="Times New Roman" w:eastAsia="Calibri" w:hAnsi="Times New Roman" w:cs="Times New Roman"/>
          <w:sz w:val="24"/>
          <w:szCs w:val="24"/>
          <w:lang w:eastAsia="zh-CN"/>
        </w:rPr>
        <w:t>01.12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.2023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42C7C"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>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  <w:bookmarkStart w:id="0" w:name="_GoBack"/>
      <w:bookmarkEnd w:id="0"/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11783D"/>
    <w:rsid w:val="00126B18"/>
    <w:rsid w:val="00187584"/>
    <w:rsid w:val="001F5E7C"/>
    <w:rsid w:val="002032D0"/>
    <w:rsid w:val="00212E5D"/>
    <w:rsid w:val="00270E40"/>
    <w:rsid w:val="00316DB1"/>
    <w:rsid w:val="00386523"/>
    <w:rsid w:val="00394C68"/>
    <w:rsid w:val="003A4277"/>
    <w:rsid w:val="003D1B24"/>
    <w:rsid w:val="003F71B9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8C72F0"/>
    <w:rsid w:val="00AF7B5A"/>
    <w:rsid w:val="00B11CC5"/>
    <w:rsid w:val="00B45263"/>
    <w:rsid w:val="00B76B83"/>
    <w:rsid w:val="00B92249"/>
    <w:rsid w:val="00BB70FA"/>
    <w:rsid w:val="00C6297F"/>
    <w:rsid w:val="00C8038E"/>
    <w:rsid w:val="00C94F3D"/>
    <w:rsid w:val="00CF592B"/>
    <w:rsid w:val="00D649D8"/>
    <w:rsid w:val="00D730E4"/>
    <w:rsid w:val="00D85F4D"/>
    <w:rsid w:val="00DA4F41"/>
    <w:rsid w:val="00E318F2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ri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ass.spasskoe.s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2023-09-07T01:42:00Z</dcterms:created>
  <dcterms:modified xsi:type="dcterms:W3CDTF">2023-09-07T02:39:00Z</dcterms:modified>
</cp:coreProperties>
</file>