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16D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4277" w:rsidRPr="00FA7CB1">
        <w:rPr>
          <w:rFonts w:ascii="Times New Roman" w:hAnsi="Times New Roman" w:cs="Times New Roman"/>
          <w:sz w:val="24"/>
          <w:szCs w:val="24"/>
        </w:rPr>
        <w:t>с 21 февраля 2023г. по 22 мая 2023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данные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с.Спасское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ул.Спасская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5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тел.8(42352)</w:t>
      </w:r>
      <w:r w:rsidRPr="00B92249">
        <w:rPr>
          <w:rFonts w:ascii="Arial" w:hAnsi="Arial" w:cs="Arial"/>
          <w:color w:val="8994A4"/>
          <w:sz w:val="21"/>
          <w:szCs w:val="21"/>
          <w:shd w:val="clear" w:color="auto" w:fill="FFFFFF"/>
        </w:rPr>
        <w:t xml:space="preserve"> </w:t>
      </w:r>
      <w:r w:rsidR="00D730E4">
        <w:rPr>
          <w:rFonts w:ascii="Arial" w:hAnsi="Arial" w:cs="Arial"/>
          <w:sz w:val="21"/>
          <w:szCs w:val="21"/>
          <w:shd w:val="clear" w:color="auto" w:fill="FFFFFF"/>
        </w:rPr>
        <w:t>39631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количества рабочих мест (единиц) на период не менее 3 (трёх) месяцев с даты получения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 отношении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3A4277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февраля 2023г. по 21 мая 2023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адресу: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с.Спасское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, Спасского района, Приморского края, ул.Спасская,116, адрес электронной почты:</w:t>
      </w:r>
      <w:r w:rsidR="00126B18" w:rsidRPr="00126B18">
        <w:t xml:space="preserve"> </w:t>
      </w:r>
      <w:hyperlink r:id="rId6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них  и</w:t>
      </w:r>
      <w:proofErr w:type="gramEnd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направляет их в комиссию по вопросам предоставления финансовой поддержки СМСП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до 02 июня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даты и времени, оп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ределенных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средств для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отсутствие сведений о СМСП в Едином реестре субъектов малого и среднего </w:t>
      </w:r>
      <w:bookmarkStart w:id="0" w:name="_GoBack"/>
      <w:bookmarkEnd w:id="0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вправе, не позднее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540E8A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.05.2023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>в 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Условия признания победителя отбора уклонившимся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случае,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(и отсутствия уведомления от СМСП о необходимости продления срока подписания Договора), СМСП считается 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уклонившимся  от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7" w:history="1">
        <w:proofErr w:type="gramStart"/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</w:t>
      </w:r>
      <w:proofErr w:type="gramEnd"/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0B"/>
    <w:rsid w:val="00003F36"/>
    <w:rsid w:val="00042C7C"/>
    <w:rsid w:val="0011783D"/>
    <w:rsid w:val="00126B18"/>
    <w:rsid w:val="00187584"/>
    <w:rsid w:val="001F5E7C"/>
    <w:rsid w:val="002032D0"/>
    <w:rsid w:val="00212E5D"/>
    <w:rsid w:val="00270E40"/>
    <w:rsid w:val="00316DB1"/>
    <w:rsid w:val="00386523"/>
    <w:rsid w:val="003A4277"/>
    <w:rsid w:val="003D1B24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AF7B5A"/>
    <w:rsid w:val="00B11CC5"/>
    <w:rsid w:val="00B45263"/>
    <w:rsid w:val="00B76B83"/>
    <w:rsid w:val="00B92249"/>
    <w:rsid w:val="00C6297F"/>
    <w:rsid w:val="00C8038E"/>
    <w:rsid w:val="00C94F3D"/>
    <w:rsid w:val="00CF592B"/>
    <w:rsid w:val="00D649D8"/>
    <w:rsid w:val="00D730E4"/>
    <w:rsid w:val="00D85F4D"/>
    <w:rsid w:val="00E318F2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644A-8271-4509-AF72-1CD0617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pri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hyperlink" Target="mailto:spass.spasskoe.ss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Admin168017</cp:lastModifiedBy>
  <cp:revision>10</cp:revision>
  <dcterms:created xsi:type="dcterms:W3CDTF">2023-02-03T00:46:00Z</dcterms:created>
  <dcterms:modified xsi:type="dcterms:W3CDTF">2023-02-19T23:49:00Z</dcterms:modified>
</cp:coreProperties>
</file>